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4423"/>
        <w:gridCol w:w="981"/>
        <w:gridCol w:w="992"/>
        <w:gridCol w:w="873"/>
        <w:gridCol w:w="739"/>
        <w:gridCol w:w="701"/>
      </w:tblGrid>
      <w:tr w:rsidR="00FC0E4D" w:rsidRPr="005045CE" w:rsidTr="00FC0E4D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COURSE DESCRIPTION</w:t>
            </w:r>
          </w:p>
        </w:tc>
      </w:tr>
      <w:tr w:rsidR="00FC0E4D" w:rsidRPr="005045CE" w:rsidTr="00FC0E4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Semester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L+P </w:t>
            </w:r>
            <w:proofErr w:type="spellStart"/>
            <w:r w:rsidRPr="005045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Hour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Credit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ECTS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COMMUNICATION THEORIES AND MEDIA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BTSM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CC238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+ 0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200"/>
        <w:gridCol w:w="6509"/>
      </w:tblGrid>
      <w:tr w:rsidR="00FC0E4D" w:rsidRPr="005045CE" w:rsidTr="00FC0E4D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Prerequisites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Co-requisities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177"/>
        <w:gridCol w:w="6532"/>
      </w:tblGrid>
      <w:tr w:rsidR="00FC0E4D" w:rsidRPr="005045CE" w:rsidTr="00FC0E4D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Language of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English</w:t>
            </w:r>
          </w:p>
        </w:tc>
      </w:tr>
      <w:tr w:rsidR="00FC0E4D" w:rsidRPr="005045CE" w:rsidTr="00FC0E4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Level of Course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Graduate</w:t>
            </w:r>
            <w:proofErr w:type="spellEnd"/>
          </w:p>
        </w:tc>
      </w:tr>
      <w:tr w:rsidR="00FC0E4D" w:rsidRPr="005045CE" w:rsidTr="00FC0E4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Type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of Course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Free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Elective</w:t>
            </w:r>
            <w:proofErr w:type="spellEnd"/>
          </w:p>
        </w:tc>
      </w:tr>
      <w:tr w:rsidR="00FC0E4D" w:rsidRPr="005045CE" w:rsidTr="00FC0E4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Coordinator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C0E4D" w:rsidRPr="005045CE" w:rsidTr="00FC0E4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Name of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Lecturer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Assistants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Res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Asist. Eren Özyiğit,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Res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Asist. Merve Baykal,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Res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Asist</w:t>
            </w:r>
            <w:proofErr w:type="gram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..</w:t>
            </w:r>
            <w:proofErr w:type="gram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Burcu Dok</w:t>
            </w:r>
          </w:p>
        </w:tc>
      </w:tr>
      <w:tr w:rsidR="00FC0E4D" w:rsidRPr="005045CE" w:rsidTr="00FC0E4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examine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basic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theories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theoreticians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field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communication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2.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determine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effect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American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tradition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communication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on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communication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studies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3.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be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able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demonstrate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influences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of dominant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paradigms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theoretical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approaches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on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other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fields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science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education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social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life. 4.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be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able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synthesize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relation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between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theory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practice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5.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show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theories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can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bring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social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problems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6.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make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interdisciplinary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nature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communication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visible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by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showing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effects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different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fields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social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sciences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such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as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history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sociology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psychology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on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communication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theories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7.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analyze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relationship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between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communication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theories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social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structure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8.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be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able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make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critical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reading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theoretical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approaches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mainstream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approaches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C0E4D" w:rsidRPr="005045CE" w:rsidTr="00FC0E4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Objective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This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course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covers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topics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such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as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new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media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concept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digital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culture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network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based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sociality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politics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network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based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social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movements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social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media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usage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practices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These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topics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will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be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covered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by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focusing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on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past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present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future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digital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communication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technologies</w:t>
            </w:r>
            <w:proofErr w:type="spellEnd"/>
          </w:p>
        </w:tc>
      </w:tr>
    </w:tbl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4942"/>
        <w:gridCol w:w="1477"/>
        <w:gridCol w:w="1165"/>
        <w:gridCol w:w="1314"/>
      </w:tblGrid>
      <w:tr w:rsidR="00FC0E4D" w:rsidRPr="005045CE" w:rsidTr="00FC0E4D">
        <w:trPr>
          <w:tblCellSpacing w:w="15" w:type="dxa"/>
          <w:jc w:val="center"/>
        </w:trPr>
        <w:tc>
          <w:tcPr>
            <w:tcW w:w="275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Learning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Outcomes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Program Learning </w:t>
            </w:r>
            <w:proofErr w:type="spellStart"/>
            <w:r w:rsidRPr="005045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Outcomes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Teaching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Methods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Evaluation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Techniques</w:t>
            </w:r>
            <w:proofErr w:type="spellEnd"/>
          </w:p>
        </w:tc>
      </w:tr>
      <w:tr w:rsidR="00FC0E4D" w:rsidRPr="005045CE" w:rsidTr="00FC0E4D">
        <w:trPr>
          <w:trHeight w:val="450"/>
          <w:tblCellSpacing w:w="15" w:type="dxa"/>
          <w:jc w:val="center"/>
        </w:trPr>
        <w:tc>
          <w:tcPr>
            <w:tcW w:w="275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mainstream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approach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field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communication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knows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solution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individual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society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mass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communication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1, </w:t>
            </w:r>
            <w:proofErr w:type="gram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2,3,4,7,8</w:t>
            </w:r>
            <w:proofErr w:type="gramEnd"/>
          </w:p>
        </w:tc>
        <w:tc>
          <w:tcPr>
            <w:tcW w:w="63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1,2,3,4,5,6</w:t>
            </w:r>
            <w:proofErr w:type="gramEnd"/>
          </w:p>
        </w:tc>
        <w:tc>
          <w:tcPr>
            <w:tcW w:w="7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1,2,3</w:t>
            </w:r>
            <w:proofErr w:type="gramEnd"/>
          </w:p>
        </w:tc>
      </w:tr>
      <w:tr w:rsidR="00FC0E4D" w:rsidRPr="005045CE" w:rsidTr="00FC0E4D">
        <w:trPr>
          <w:trHeight w:val="450"/>
          <w:tblCellSpacing w:w="15" w:type="dxa"/>
          <w:jc w:val="center"/>
        </w:trPr>
        <w:tc>
          <w:tcPr>
            <w:tcW w:w="275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They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know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how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communication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theories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approach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social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problems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1, </w:t>
            </w:r>
            <w:proofErr w:type="gram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2,3,8</w:t>
            </w:r>
            <w:proofErr w:type="gramEnd"/>
          </w:p>
        </w:tc>
        <w:tc>
          <w:tcPr>
            <w:tcW w:w="63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1,2,3,4,5,6</w:t>
            </w:r>
            <w:proofErr w:type="gramEnd"/>
          </w:p>
        </w:tc>
        <w:tc>
          <w:tcPr>
            <w:tcW w:w="7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1,2,3</w:t>
            </w:r>
            <w:proofErr w:type="gramEnd"/>
          </w:p>
        </w:tc>
      </w:tr>
      <w:tr w:rsidR="00FC0E4D" w:rsidRPr="005045CE" w:rsidTr="00FC0E4D">
        <w:trPr>
          <w:trHeight w:val="450"/>
          <w:tblCellSpacing w:w="15" w:type="dxa"/>
          <w:jc w:val="center"/>
        </w:trPr>
        <w:tc>
          <w:tcPr>
            <w:tcW w:w="275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line="30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It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can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compare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communication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approaches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different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paradigms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1, </w:t>
            </w:r>
            <w:proofErr w:type="gram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2,3,8,12,13</w:t>
            </w:r>
            <w:proofErr w:type="gramEnd"/>
          </w:p>
        </w:tc>
        <w:tc>
          <w:tcPr>
            <w:tcW w:w="63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1,2,3,4,5,6</w:t>
            </w:r>
            <w:proofErr w:type="gramEnd"/>
          </w:p>
        </w:tc>
        <w:tc>
          <w:tcPr>
            <w:tcW w:w="7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1,2,3</w:t>
            </w:r>
            <w:proofErr w:type="gramEnd"/>
          </w:p>
        </w:tc>
      </w:tr>
    </w:tbl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388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7049"/>
      </w:tblGrid>
      <w:tr w:rsidR="00FC0E4D" w:rsidRPr="005045CE" w:rsidTr="00FC0E4D">
        <w:trPr>
          <w:tblCellSpacing w:w="15" w:type="dxa"/>
          <w:jc w:val="center"/>
        </w:trPr>
        <w:tc>
          <w:tcPr>
            <w:tcW w:w="495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Teaching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Methods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5045C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045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1: </w:t>
            </w:r>
            <w:proofErr w:type="spellStart"/>
            <w:r w:rsidRPr="005045CE">
              <w:rPr>
                <w:rFonts w:ascii="Times New Roman" w:hAnsi="Times New Roman"/>
                <w:sz w:val="24"/>
                <w:szCs w:val="24"/>
                <w:lang w:eastAsia="en-US"/>
              </w:rPr>
              <w:t>Lecture</w:t>
            </w:r>
            <w:proofErr w:type="spellEnd"/>
            <w:r w:rsidRPr="005045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2: </w:t>
            </w:r>
            <w:proofErr w:type="spellStart"/>
            <w:r w:rsidRPr="005045CE">
              <w:rPr>
                <w:rFonts w:ascii="Times New Roman" w:hAnsi="Times New Roman"/>
                <w:sz w:val="24"/>
                <w:szCs w:val="24"/>
                <w:lang w:eastAsia="en-US"/>
              </w:rPr>
              <w:t>Question-Answer</w:t>
            </w:r>
            <w:proofErr w:type="spellEnd"/>
            <w:r w:rsidRPr="005045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3: </w:t>
            </w:r>
            <w:proofErr w:type="spellStart"/>
            <w:r w:rsidRPr="005045CE">
              <w:rPr>
                <w:rFonts w:ascii="Times New Roman" w:hAnsi="Times New Roman"/>
                <w:sz w:val="24"/>
                <w:szCs w:val="24"/>
                <w:lang w:eastAsia="en-US"/>
              </w:rPr>
              <w:t>Discussion</w:t>
            </w:r>
            <w:proofErr w:type="spellEnd"/>
            <w:r w:rsidRPr="005045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4: Case </w:t>
            </w:r>
            <w:proofErr w:type="spellStart"/>
            <w:r w:rsidRPr="005045CE">
              <w:rPr>
                <w:rFonts w:ascii="Times New Roman" w:hAnsi="Times New Roman"/>
                <w:sz w:val="24"/>
                <w:szCs w:val="24"/>
                <w:lang w:eastAsia="en-US"/>
              </w:rPr>
              <w:t>Study</w:t>
            </w:r>
            <w:proofErr w:type="spellEnd"/>
            <w:r w:rsidRPr="005045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5: Problem </w:t>
            </w:r>
            <w:proofErr w:type="spellStart"/>
            <w:r w:rsidRPr="005045CE">
              <w:rPr>
                <w:rFonts w:ascii="Times New Roman" w:hAnsi="Times New Roman"/>
                <w:sz w:val="24"/>
                <w:szCs w:val="24"/>
                <w:lang w:eastAsia="en-US"/>
              </w:rPr>
              <w:t>solving</w:t>
            </w:r>
            <w:proofErr w:type="spellEnd"/>
          </w:p>
        </w:tc>
      </w:tr>
    </w:tbl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390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1553"/>
        <w:gridCol w:w="5538"/>
      </w:tblGrid>
      <w:tr w:rsidR="00FC0E4D" w:rsidRPr="005045CE" w:rsidTr="00FC0E4D">
        <w:trPr>
          <w:tblCellSpacing w:w="15" w:type="dxa"/>
          <w:jc w:val="center"/>
        </w:trPr>
        <w:tc>
          <w:tcPr>
            <w:tcW w:w="8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</w:pPr>
            <w:r w:rsidRPr="005045CE"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  <w:t>Measurement Methods:</w:t>
            </w:r>
          </w:p>
        </w:tc>
        <w:tc>
          <w:tcPr>
            <w:tcW w:w="40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5045CE">
              <w:rPr>
                <w:rFonts w:ascii="Times New Roman" w:hAnsi="Times New Roman"/>
                <w:sz w:val="24"/>
                <w:szCs w:val="24"/>
                <w:lang w:val="en-GB" w:eastAsia="en-US"/>
              </w:rPr>
              <w:t>1: Class 2: Semester 3: Homework</w:t>
            </w:r>
          </w:p>
        </w:tc>
      </w:tr>
    </w:tbl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0E4D" w:rsidRPr="005045CE" w:rsidRDefault="00FC0E4D" w:rsidP="00FC0E4D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</w:rPr>
      </w:pPr>
      <w:r w:rsidRPr="005045C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C0E4D" w:rsidRPr="005045CE" w:rsidRDefault="00FC0E4D" w:rsidP="00FC0E4D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</w:rPr>
      </w:pPr>
      <w:r w:rsidRPr="005045C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8505" w:type="dxa"/>
        <w:tblCellSpacing w:w="15" w:type="dxa"/>
        <w:tblInd w:w="134" w:type="dxa"/>
        <w:tblBorders>
          <w:top w:val="single" w:sz="6" w:space="0" w:color="B4CBDD"/>
          <w:left w:val="single" w:sz="6" w:space="0" w:color="B4CBDD"/>
          <w:bottom w:val="single" w:sz="6" w:space="0" w:color="B4CBDD"/>
          <w:right w:val="single" w:sz="6" w:space="0" w:color="B4CBDD"/>
        </w:tblBorders>
        <w:shd w:val="clear" w:color="auto" w:fill="F8FAFC"/>
        <w:tblLayout w:type="fixed"/>
        <w:tblLook w:val="04A0" w:firstRow="1" w:lastRow="0" w:firstColumn="1" w:lastColumn="0" w:noHBand="0" w:noVBand="1"/>
      </w:tblPr>
      <w:tblGrid>
        <w:gridCol w:w="111"/>
        <w:gridCol w:w="149"/>
        <w:gridCol w:w="65"/>
        <w:gridCol w:w="240"/>
        <w:gridCol w:w="30"/>
        <w:gridCol w:w="5926"/>
        <w:gridCol w:w="283"/>
        <w:gridCol w:w="284"/>
        <w:gridCol w:w="283"/>
        <w:gridCol w:w="284"/>
        <w:gridCol w:w="283"/>
        <w:gridCol w:w="567"/>
      </w:tblGrid>
      <w:tr w:rsidR="00FC0E4D" w:rsidRPr="005045CE" w:rsidTr="00FC0E4D">
        <w:trPr>
          <w:gridAfter w:val="10"/>
          <w:wAfter w:w="8200" w:type="dxa"/>
          <w:tblCellSpacing w:w="15" w:type="dxa"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C0E4D" w:rsidRPr="005045CE" w:rsidRDefault="00FC0E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E4D" w:rsidRPr="005045CE" w:rsidRDefault="00FC0E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C0E4D" w:rsidRPr="005045CE" w:rsidRDefault="00FC0E4D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COURSE’S CONTRIBUTION TO PROGRAM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Katkı Düzeyi</w:t>
            </w: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C0E4D" w:rsidRPr="005045CE" w:rsidRDefault="00FC0E4D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C0E4D" w:rsidRPr="005045CE" w:rsidRDefault="00FC0E4D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Having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knowledge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past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basic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though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principles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PCG,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implementing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PCG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  <w:proofErr w:type="gram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C0E4D" w:rsidRPr="005045CE" w:rsidRDefault="00FC0E4D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Comprehending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meaning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importance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coordination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consultation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consulting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supervision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PCG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field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implementing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them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  <w:proofErr w:type="gram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C0E4D" w:rsidRPr="005045CE" w:rsidRDefault="00FC0E4D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Having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knowledge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ethical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rules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accepted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by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national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international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PCG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associations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implementing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them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C0E4D" w:rsidRPr="005045CE" w:rsidRDefault="00FC0E4D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Learning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accept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everyone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as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they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are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with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all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kind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features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by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multicultural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approach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C0E4D" w:rsidRPr="005045CE" w:rsidRDefault="00FC0E4D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Learning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theories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information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about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cultural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awareness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cultural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social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justice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solution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conflicts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other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cultural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behaviors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for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development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health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human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soul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mind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body,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implementing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them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C0E4D" w:rsidRPr="005045CE" w:rsidRDefault="00FC0E4D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Learning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theories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related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development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learning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personality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development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as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facilitate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positive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development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wellness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individual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for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his/her life time,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implementing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them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C0E4D" w:rsidRPr="005045CE" w:rsidRDefault="00FC0E4D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Understanding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environmental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factors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affecting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normal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abnormal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behaviors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psychopathology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disability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conditions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crisis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during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his/her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development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process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C0E4D" w:rsidRPr="005045CE" w:rsidRDefault="00FC0E4D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Learning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implementing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career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consulting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processes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techniques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sources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career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development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decision-making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model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as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include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those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applied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certain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groups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global</w:t>
            </w:r>
            <w:proofErr w:type="gram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economy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C0E4D" w:rsidRPr="005045CE" w:rsidRDefault="00FC0E4D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Learning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psychological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consulting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theories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being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aware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use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intervention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techniques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suitable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for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counselees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practice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C0E4D" w:rsidRPr="005045CE" w:rsidRDefault="00FC0E4D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Learning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group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process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roles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behaviors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group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members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group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working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therapeutic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factors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principles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techniques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group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dynamics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containing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developmental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stages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Learning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varieties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skills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being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group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leader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implementing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them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Gaining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understanding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assess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individual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group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approaches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within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framework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multicultural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society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Comprehending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implementing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standardized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non-standardized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tests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containing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environmental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assessment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performance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assessment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individual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group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assessments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inventory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methods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psychological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testing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behavioral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observations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as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well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as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basic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concepts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other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assessment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techniques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Learning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qualitative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quantitative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scientific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research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methods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comprehending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importance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make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research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field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of PCG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present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results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written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implementing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them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Learning how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use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internet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technology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for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accessing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information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sharing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information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professional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development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data</w:t>
            </w:r>
            <w:proofErr w:type="gram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analysis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Sticking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confidentiality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principle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PCG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services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believing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that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benefiting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from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PCG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services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is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open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everyone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for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their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life time on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voluntarily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basis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blCellSpacing w:w="15" w:type="dxa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Understanding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barriers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before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education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students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who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need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special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education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supporting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students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these</w:t>
            </w:r>
            <w:proofErr w:type="spellEnd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fields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0E4D" w:rsidRPr="005045CE" w:rsidRDefault="00FC0E4D" w:rsidP="00FC0E4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FC0E4D" w:rsidRPr="005045CE" w:rsidRDefault="00FC0E4D" w:rsidP="00FC0E4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464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4619"/>
        <w:gridCol w:w="3073"/>
      </w:tblGrid>
      <w:tr w:rsidR="00FC0E4D" w:rsidRPr="005045CE" w:rsidTr="00FB7F10">
        <w:trPr>
          <w:trHeight w:val="525"/>
          <w:tblCellSpacing w:w="15" w:type="dxa"/>
          <w:jc w:val="center"/>
        </w:trPr>
        <w:tc>
          <w:tcPr>
            <w:tcW w:w="4964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6E00D2" w:rsidP="00FC0E4D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045C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WORK CALENDER</w:t>
            </w:r>
          </w:p>
        </w:tc>
      </w:tr>
      <w:tr w:rsidR="00FC0E4D" w:rsidRPr="005045CE" w:rsidTr="00FB7F10">
        <w:trPr>
          <w:trHeight w:val="417"/>
          <w:tblCellSpacing w:w="15" w:type="dxa"/>
          <w:jc w:val="center"/>
        </w:trPr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6E00D2" w:rsidP="00FC0E4D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045C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Week</w:t>
            </w:r>
          </w:p>
        </w:tc>
        <w:tc>
          <w:tcPr>
            <w:tcW w:w="278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6E00D2" w:rsidP="00FC0E4D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045C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Subjects</w:t>
            </w:r>
          </w:p>
        </w:tc>
        <w:tc>
          <w:tcPr>
            <w:tcW w:w="18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6E00D2" w:rsidP="00FC0E4D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045C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Prepartion</w:t>
            </w:r>
            <w:proofErr w:type="spellEnd"/>
          </w:p>
        </w:tc>
      </w:tr>
    </w:tbl>
    <w:p w:rsidR="00FC0E4D" w:rsidRPr="005045CE" w:rsidRDefault="00FC0E4D" w:rsidP="00FC0E4D">
      <w:pPr>
        <w:shd w:val="clear" w:color="auto" w:fill="FFFFFF"/>
        <w:spacing w:before="150" w:after="150" w:line="240" w:lineRule="auto"/>
        <w:outlineLvl w:val="3"/>
        <w:rPr>
          <w:rFonts w:ascii="Times New Roman" w:hAnsi="Times New Roman"/>
          <w:color w:val="666666"/>
          <w:sz w:val="24"/>
          <w:szCs w:val="24"/>
        </w:rPr>
      </w:pPr>
    </w:p>
    <w:tbl>
      <w:tblPr>
        <w:tblW w:w="834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255"/>
        <w:gridCol w:w="5699"/>
      </w:tblGrid>
      <w:tr w:rsidR="00FC0E4D" w:rsidRPr="005045CE" w:rsidTr="00FB7F10">
        <w:trPr>
          <w:trHeight w:val="2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6E00D2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Course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entry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0E4D" w:rsidRPr="005045CE" w:rsidTr="00FB7F10">
        <w:trPr>
          <w:trHeight w:val="2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6E00D2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history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of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Internet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http://www.historyofthings.com/history-of-the-internet</w:t>
            </w:r>
          </w:p>
        </w:tc>
      </w:tr>
      <w:tr w:rsidR="00FC0E4D" w:rsidRPr="005045CE" w:rsidTr="00FB7F10">
        <w:trPr>
          <w:trHeight w:val="44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6E00D2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Conceptualization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of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Internet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Naik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U. &amp;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Shivalingaiah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D. (2008).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Comparative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Study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of Web </w:t>
            </w:r>
            <w:proofErr w:type="gram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1.0</w:t>
            </w:r>
            <w:proofErr w:type="gram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Web 2.0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and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Web 3.0. CALIBER 2008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Collections</w:t>
            </w:r>
            <w:proofErr w:type="spellEnd"/>
          </w:p>
        </w:tc>
      </w:tr>
      <w:tr w:rsidR="00FC0E4D" w:rsidRPr="005045CE" w:rsidTr="00FB7F10">
        <w:trPr>
          <w:trHeight w:val="64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6E00D2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Informationalism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and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communication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network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Castells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M. (2004).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Informationalism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Networks,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and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Network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Society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: A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Theoretical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Blueprint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In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Castells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M. (ed.)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Network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Society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: A Cross-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cultural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Perspective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pp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. 3-49.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Cheltenham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UK: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Edwar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Elgar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Publishing.</w:t>
            </w:r>
          </w:p>
        </w:tc>
      </w:tr>
      <w:tr w:rsidR="00FC0E4D" w:rsidRPr="005045CE" w:rsidTr="00FB7F10">
        <w:trPr>
          <w:trHeight w:val="64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6E00D2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rise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of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network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society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Castells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M. (2004).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Informationalism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Networks,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and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Network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Society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: A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Theoretical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Blueprint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In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Castells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M. (ed.)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Network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Society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: A Cross-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cultural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Perspective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pp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. 3-49.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Cheltenham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UK: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Edwar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Elgar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Publishing.</w:t>
            </w:r>
          </w:p>
        </w:tc>
      </w:tr>
      <w:tr w:rsidR="00FC0E4D" w:rsidRPr="005045CE" w:rsidTr="00FB7F10">
        <w:trPr>
          <w:trHeight w:val="87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6E00D2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Network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society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transformation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and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political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issues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Castells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M. (2005).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Network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Society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From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Knowledge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to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Policy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In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Castells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M.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and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Gustavo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, C. (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eds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.)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Network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society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From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Knowledge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to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Policy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pp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. 2-23. Massachusetts: Center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for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Transatlantic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Relations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FC0E4D" w:rsidRPr="005045CE" w:rsidTr="00FB7F10">
        <w:trPr>
          <w:trHeight w:val="21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6E00D2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Mid-Term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0E4D" w:rsidRPr="005045CE" w:rsidTr="00FB7F10">
        <w:trPr>
          <w:trHeight w:val="4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6E00D2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A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critical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introduction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to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Fuchs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Christian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(2014).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media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: A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critical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introduction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London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Sage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chapter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1: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What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is a Critical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Introduction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to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Media?</w:t>
            </w:r>
          </w:p>
        </w:tc>
      </w:tr>
      <w:tr w:rsidR="00FC0E4D" w:rsidRPr="005045CE" w:rsidTr="00FB7F10">
        <w:trPr>
          <w:trHeight w:val="44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6E00D2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Facebook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and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networking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community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Fuchs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Christian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(2014).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media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: A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critical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introduction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London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Sage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chapter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7: Facebook: A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Surveillance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Threat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to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Privacy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FC0E4D" w:rsidRPr="005045CE" w:rsidTr="00FB7F10">
        <w:trPr>
          <w:trHeight w:val="4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6E00D2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Twitter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and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networking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community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Fuchs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Christian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(2014).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media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: A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critical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introduction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London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Sage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chapter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8: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Twitter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and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Democracy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: A New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Public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Sphere?</w:t>
            </w:r>
          </w:p>
        </w:tc>
      </w:tr>
      <w:tr w:rsidR="00FC0E4D" w:rsidRPr="005045CE" w:rsidTr="00FB7F10">
        <w:trPr>
          <w:trHeight w:val="4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6E00D2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Network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based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movements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Castells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M. (2012). Networks of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Outrage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and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Hope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Movements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in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Internet Age. Cambridge, UK: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Polity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Press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-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Changing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World in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Network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Society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, pp.218-244.</w:t>
            </w:r>
          </w:p>
        </w:tc>
      </w:tr>
      <w:tr w:rsidR="00FC0E4D" w:rsidRPr="005045CE" w:rsidTr="00FB7F10">
        <w:trPr>
          <w:trHeight w:val="65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6E00D2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Online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discussion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and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networked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public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spaces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Zuckerman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E. (2014). New Media, New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Civics</w:t>
            </w:r>
            <w:proofErr w:type="spellEnd"/>
            <w:proofErr w:type="gram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?.</w:t>
            </w:r>
            <w:proofErr w:type="gram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Policy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&amp; Internet (6), 2.</w:t>
            </w:r>
          </w:p>
        </w:tc>
      </w:tr>
      <w:tr w:rsidR="00FC0E4D" w:rsidRPr="005045CE" w:rsidTr="00FB7F10">
        <w:trPr>
          <w:trHeight w:val="4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6E00D2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Occupy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Wall Street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Castells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M. (2012). Networks of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Outrage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and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Hope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Social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Movements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in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Internet Age. Cambridge, UK: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Polity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Press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Occupy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Wall Street: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Harvesting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Salt of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Earth, pp.156-197.</w:t>
            </w:r>
          </w:p>
        </w:tc>
      </w:tr>
      <w:tr w:rsidR="00FC0E4D" w:rsidRPr="005045CE" w:rsidTr="00FB7F10">
        <w:trPr>
          <w:trHeight w:val="4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6E00D2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Gezi Park Action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Farro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A. L.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and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Demirhisar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, D. G. (2013).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Gezi Park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Movement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: A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Turkish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Experience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of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Twenty-first-century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Collective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Movements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. International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Review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of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Sociology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(24) 1,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pp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. 176-189.</w:t>
            </w:r>
          </w:p>
        </w:tc>
      </w:tr>
      <w:tr w:rsidR="00FC0E4D" w:rsidRPr="005045CE" w:rsidTr="00FB7F10">
        <w:trPr>
          <w:trHeight w:val="4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6E00D2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Term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evaluation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C0E4D" w:rsidRPr="005045CE" w:rsidTr="00FB7F10">
        <w:trPr>
          <w:trHeight w:val="441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6E00D2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Term</w:t>
            </w:r>
            <w:proofErr w:type="spellEnd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045CE">
              <w:rPr>
                <w:rFonts w:ascii="Times New Roman" w:eastAsiaTheme="minorEastAsia" w:hAnsi="Times New Roman"/>
                <w:sz w:val="24"/>
                <w:szCs w:val="24"/>
              </w:rPr>
              <w:t>evaluation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0E4D" w:rsidRPr="005045CE" w:rsidRDefault="00FC0E4D" w:rsidP="006E00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C0E4D" w:rsidRPr="005045CE" w:rsidRDefault="00FC0E4D" w:rsidP="006E00D2">
      <w:pPr>
        <w:rPr>
          <w:rFonts w:ascii="Times New Roman" w:hAnsi="Times New Roman"/>
          <w:sz w:val="24"/>
          <w:szCs w:val="24"/>
        </w:rPr>
      </w:pPr>
    </w:p>
    <w:p w:rsidR="00FC0E4D" w:rsidRPr="005045CE" w:rsidRDefault="00FC0E4D" w:rsidP="006E00D2">
      <w:pPr>
        <w:rPr>
          <w:rFonts w:ascii="Times New Roman" w:hAnsi="Times New Roman"/>
          <w:sz w:val="24"/>
          <w:szCs w:val="24"/>
        </w:rPr>
      </w:pPr>
    </w:p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574"/>
        <w:gridCol w:w="6135"/>
      </w:tblGrid>
      <w:tr w:rsidR="00FC0E4D" w:rsidRPr="005045CE" w:rsidTr="00FC0E4D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READING TEXT</w:t>
            </w:r>
          </w:p>
        </w:tc>
      </w:tr>
      <w:tr w:rsidR="00FC0E4D" w:rsidRPr="005045CE" w:rsidTr="00FC0E4D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Required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Reading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6E00D2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Reading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materials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for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course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will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be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provided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by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teaching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staff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C0E4D" w:rsidRPr="005045CE" w:rsidTr="00FC0E4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Recommended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Reading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6E00D2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Course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reader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Hand-outs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PowerPoint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presentations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Bibliography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print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journals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open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access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journals</w:t>
            </w:r>
            <w:proofErr w:type="spellEnd"/>
          </w:p>
        </w:tc>
      </w:tr>
    </w:tbl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00D2" w:rsidRPr="005045CE" w:rsidRDefault="006E00D2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00D2" w:rsidRPr="005045CE" w:rsidRDefault="006E00D2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1769"/>
        <w:gridCol w:w="6940"/>
      </w:tblGrid>
      <w:tr w:rsidR="00FC0E4D" w:rsidRPr="005045CE" w:rsidTr="00FC0E4D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MATERIAL SHARING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Materials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Homeworks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Exams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6045"/>
        <w:gridCol w:w="1192"/>
        <w:gridCol w:w="1472"/>
      </w:tblGrid>
      <w:tr w:rsidR="00FC0E4D" w:rsidRPr="005045CE" w:rsidTr="00FC0E4D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ASSESSMENT</w:t>
            </w:r>
          </w:p>
        </w:tc>
      </w:tr>
      <w:tr w:rsidR="00FC0E4D" w:rsidRPr="005045CE" w:rsidTr="00FC0E4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TERM LEARNING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WEIGHT, %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Mid-Term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Quiz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Homework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Contribution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of Final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Exam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Success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Contribution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Term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Year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) Learning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Activities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Success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</w:tbl>
    <w:p w:rsidR="00FC0E4D" w:rsidRPr="005045CE" w:rsidRDefault="00FC0E4D" w:rsidP="00FC0E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6024"/>
        <w:gridCol w:w="912"/>
        <w:gridCol w:w="979"/>
        <w:gridCol w:w="794"/>
      </w:tblGrid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COURSE CATEGORY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Lecture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on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Specialized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Field</w:t>
            </w:r>
            <w:proofErr w:type="spellEnd"/>
          </w:p>
        </w:tc>
      </w:tr>
      <w:tr w:rsidR="00FC0E4D" w:rsidRPr="005045CE" w:rsidTr="00FC0E4D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ECTS / WORK LOAD TABLE</w:t>
            </w:r>
          </w:p>
        </w:tc>
      </w:tr>
      <w:tr w:rsidR="00FC0E4D" w:rsidRPr="005045CE" w:rsidTr="00FC0E4D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Duration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Hour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Total</w:t>
            </w: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Work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Load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Hour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Duration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hour</w:t>
            </w:r>
            <w:proofErr w:type="spellEnd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Prestudy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Homework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Mid-Term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Final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Total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Workload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Total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Workload</w:t>
            </w:r>
            <w:proofErr w:type="spellEnd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/ 25 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FC0E4D" w:rsidRPr="005045CE" w:rsidTr="00FC0E4D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ECTS </w:t>
            </w:r>
            <w:proofErr w:type="spellStart"/>
            <w:r w:rsidRPr="00504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Credit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C0E4D" w:rsidRPr="005045CE" w:rsidRDefault="00FC0E4D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45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:rsidR="00FC0E4D" w:rsidRPr="005045CE" w:rsidRDefault="00FC0E4D" w:rsidP="00FC0E4D">
      <w:pPr>
        <w:rPr>
          <w:rFonts w:ascii="Times New Roman" w:hAnsi="Times New Roman"/>
          <w:sz w:val="24"/>
          <w:szCs w:val="24"/>
        </w:rPr>
      </w:pPr>
    </w:p>
    <w:p w:rsidR="00B135BC" w:rsidRPr="005045CE" w:rsidRDefault="00CC2389">
      <w:pPr>
        <w:rPr>
          <w:rFonts w:ascii="Times New Roman" w:hAnsi="Times New Roman"/>
          <w:sz w:val="24"/>
          <w:szCs w:val="24"/>
        </w:rPr>
      </w:pPr>
    </w:p>
    <w:sectPr w:rsidR="00B135BC" w:rsidRPr="0050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4D"/>
    <w:rsid w:val="005045CE"/>
    <w:rsid w:val="006E00D2"/>
    <w:rsid w:val="00BB4130"/>
    <w:rsid w:val="00BC2D85"/>
    <w:rsid w:val="00CC2389"/>
    <w:rsid w:val="00F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4D22B-9E93-44EB-BDA0-24586F41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4D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Dok</dc:creator>
  <cp:keywords/>
  <dc:description/>
  <cp:lastModifiedBy>Burcu Dok</cp:lastModifiedBy>
  <cp:revision>4</cp:revision>
  <cp:lastPrinted>2017-04-24T09:57:00Z</cp:lastPrinted>
  <dcterms:created xsi:type="dcterms:W3CDTF">2017-04-24T08:19:00Z</dcterms:created>
  <dcterms:modified xsi:type="dcterms:W3CDTF">2017-04-27T11:21:00Z</dcterms:modified>
</cp:coreProperties>
</file>