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793"/>
        <w:gridCol w:w="779"/>
        <w:gridCol w:w="796"/>
        <w:gridCol w:w="672"/>
        <w:gridCol w:w="706"/>
      </w:tblGrid>
      <w:tr w:rsidR="00501118" w:rsidRPr="00020725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501118" w:rsidRPr="00020725" w:rsidRDefault="00501118" w:rsidP="003C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BİLGİLERİ</w:t>
            </w:r>
          </w:p>
        </w:tc>
      </w:tr>
      <w:tr w:rsidR="00784DFB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Yarıyıl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T+U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Saat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AKTS</w:t>
            </w:r>
          </w:p>
        </w:tc>
      </w:tr>
      <w:tr w:rsidR="00784DFB" w:rsidRPr="00020725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784DFB" w:rsidP="00784DF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GÜÇLÜĞÜ VE BİREYSELLEŞTİRİLMİŞ PROGRAMLAR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12CE4">
              <w:rPr>
                <w:rFonts w:ascii="Times New Roman" w:hAnsi="Times New Roman" w:cs="Times New Roman"/>
                <w:sz w:val="24"/>
                <w:szCs w:val="24"/>
              </w:rPr>
              <w:t>PÖ 611</w:t>
            </w:r>
            <w:r w:rsidR="0078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12CE4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501118" w:rsidRPr="00020725" w:rsidRDefault="00501118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Koşul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501118" w:rsidRPr="00020725" w:rsidRDefault="00501118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  <w:proofErr w:type="spellEnd"/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Seviyesi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  <w:proofErr w:type="spellEnd"/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  <w:proofErr w:type="spellEnd"/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Koordinatörü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Verenler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Yardımcıları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Amacı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pStyle w:val="NormalWeb"/>
              <w:jc w:val="both"/>
              <w:rPr>
                <w:color w:val="auto"/>
              </w:rPr>
            </w:pPr>
            <w:r w:rsidRPr="00020725">
              <w:rPr>
                <w:color w:val="auto"/>
              </w:rPr>
              <w:t xml:space="preserve">Bu </w:t>
            </w:r>
            <w:proofErr w:type="spellStart"/>
            <w:r w:rsidRPr="00020725">
              <w:rPr>
                <w:color w:val="auto"/>
              </w:rPr>
              <w:t>dersin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amacı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çocuk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ve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ergen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psikopatolojileri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üzerine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geliştirilen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temel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teori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ve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yaklaşımları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sunmaktır</w:t>
            </w:r>
            <w:proofErr w:type="spellEnd"/>
            <w:r w:rsidRPr="00020725">
              <w:rPr>
                <w:color w:val="auto"/>
              </w:rPr>
              <w:t xml:space="preserve">. </w:t>
            </w:r>
            <w:proofErr w:type="spellStart"/>
            <w:r w:rsidRPr="00020725">
              <w:rPr>
                <w:color w:val="auto"/>
              </w:rPr>
              <w:t>Öğrencilerin</w:t>
            </w:r>
            <w:proofErr w:type="spellEnd"/>
            <w:r w:rsidRPr="00020725">
              <w:rPr>
                <w:color w:val="auto"/>
              </w:rPr>
              <w:t xml:space="preserve">, </w:t>
            </w:r>
            <w:proofErr w:type="spellStart"/>
            <w:r w:rsidRPr="00020725">
              <w:rPr>
                <w:color w:val="auto"/>
              </w:rPr>
              <w:t>çocukluk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ve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ergenlik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süreçlerinde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sık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karşılaşılan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dikkat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eksikliği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ve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hiperaktivite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bozukluğu</w:t>
            </w:r>
            <w:proofErr w:type="spellEnd"/>
            <w:r w:rsidRPr="00020725">
              <w:rPr>
                <w:color w:val="auto"/>
              </w:rPr>
              <w:t xml:space="preserve">, </w:t>
            </w:r>
            <w:proofErr w:type="spellStart"/>
            <w:r w:rsidRPr="00020725">
              <w:rPr>
                <w:color w:val="auto"/>
              </w:rPr>
              <w:t>davranım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bozukluğu</w:t>
            </w:r>
            <w:proofErr w:type="spellEnd"/>
            <w:r w:rsidRPr="00020725">
              <w:rPr>
                <w:color w:val="auto"/>
              </w:rPr>
              <w:t xml:space="preserve">, </w:t>
            </w:r>
            <w:proofErr w:type="spellStart"/>
            <w:r w:rsidRPr="00020725">
              <w:rPr>
                <w:color w:val="auto"/>
              </w:rPr>
              <w:t>öğrenme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güçlüğü</w:t>
            </w:r>
            <w:proofErr w:type="spellEnd"/>
            <w:r w:rsidRPr="00020725">
              <w:rPr>
                <w:color w:val="auto"/>
              </w:rPr>
              <w:t xml:space="preserve">, </w:t>
            </w:r>
            <w:proofErr w:type="spellStart"/>
            <w:r w:rsidRPr="00020725">
              <w:rPr>
                <w:color w:val="auto"/>
              </w:rPr>
              <w:t>otizm</w:t>
            </w:r>
            <w:proofErr w:type="spellEnd"/>
            <w:r w:rsidRPr="00020725">
              <w:rPr>
                <w:color w:val="auto"/>
              </w:rPr>
              <w:t xml:space="preserve">, </w:t>
            </w:r>
            <w:proofErr w:type="spellStart"/>
            <w:r w:rsidRPr="00020725">
              <w:rPr>
                <w:color w:val="auto"/>
              </w:rPr>
              <w:t>kaygı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bozukluğu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gibi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problemler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hakkında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temel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düzeyde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bilgi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sahibi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olmaları</w:t>
            </w:r>
            <w:proofErr w:type="spellEnd"/>
            <w:r w:rsidRPr="00020725">
              <w:rPr>
                <w:color w:val="auto"/>
              </w:rPr>
              <w:t xml:space="preserve"> </w:t>
            </w:r>
            <w:proofErr w:type="spellStart"/>
            <w:r w:rsidRPr="00020725">
              <w:rPr>
                <w:color w:val="auto"/>
              </w:rPr>
              <w:t>hedeflenmektedir</w:t>
            </w:r>
            <w:proofErr w:type="spellEnd"/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İçeriği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pStyle w:val="NoSpacing1"/>
              <w:tabs>
                <w:tab w:val="left" w:pos="1660"/>
              </w:tabs>
              <w:rPr>
                <w:rFonts w:ascii="Times New Roman" w:hAnsi="Times New Roman"/>
                <w:lang w:val="tr-TR"/>
              </w:rPr>
            </w:pPr>
            <w:r w:rsidRPr="00020725">
              <w:rPr>
                <w:rFonts w:ascii="Times New Roman" w:hAnsi="Times New Roman"/>
                <w:lang w:val="tr-TR"/>
              </w:rPr>
              <w:t>Çocuk ergen psikopatolojilerinin etiyolojileri ve tedavileri farklı bakış açıları temel alınarak incelenir.</w:t>
            </w:r>
          </w:p>
        </w:tc>
      </w:tr>
    </w:tbl>
    <w:p w:rsidR="00501118" w:rsidRPr="00020725" w:rsidRDefault="00501118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1265"/>
        <w:gridCol w:w="1220"/>
        <w:gridCol w:w="1305"/>
      </w:tblGrid>
      <w:tr w:rsidR="00501118" w:rsidRPr="00020725" w:rsidTr="003C0D19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Öğrenme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Çıktıları</w:t>
            </w:r>
            <w:proofErr w:type="spellEnd"/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Öğrenme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Çıktıları</w:t>
            </w:r>
            <w:proofErr w:type="spellEnd"/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1118" w:rsidRPr="00020725" w:rsidRDefault="00501118" w:rsidP="003C0D1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20725">
              <w:rPr>
                <w:rFonts w:ascii="Times New Roman" w:hAnsi="Times New Roman" w:cs="Times New Roman"/>
              </w:rPr>
              <w:t>Çocuk</w:t>
            </w:r>
            <w:proofErr w:type="spellEnd"/>
            <w:r w:rsidRPr="00020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</w:rPr>
              <w:t>ve</w:t>
            </w:r>
            <w:proofErr w:type="spellEnd"/>
            <w:r w:rsidRPr="00020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</w:rPr>
              <w:t>ergen</w:t>
            </w:r>
            <w:proofErr w:type="spellEnd"/>
            <w:r w:rsidRPr="00020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</w:rPr>
              <w:t>tanımlarının</w:t>
            </w:r>
            <w:proofErr w:type="spellEnd"/>
            <w:r w:rsidRPr="00020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</w:rPr>
              <w:t>tarihsel</w:t>
            </w:r>
            <w:proofErr w:type="spellEnd"/>
            <w:r w:rsidRPr="00020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</w:rPr>
              <w:t>gelişim</w:t>
            </w:r>
            <w:proofErr w:type="spellEnd"/>
            <w:r w:rsidRPr="00020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</w:rPr>
              <w:t>süreçlerini</w:t>
            </w:r>
            <w:proofErr w:type="spellEnd"/>
            <w:r w:rsidRPr="00020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</w:rPr>
              <w:t>ve</w:t>
            </w:r>
            <w:proofErr w:type="spellEnd"/>
            <w:r w:rsidRPr="00020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</w:rPr>
              <w:t>dönüm</w:t>
            </w:r>
            <w:proofErr w:type="spellEnd"/>
            <w:r w:rsidRPr="00020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</w:rPr>
              <w:t>noktalarını</w:t>
            </w:r>
            <w:proofErr w:type="spellEnd"/>
            <w:r w:rsidRPr="00020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</w:rPr>
              <w:t>açıklayabilmek</w:t>
            </w:r>
            <w:proofErr w:type="spellEnd"/>
            <w:r w:rsidRPr="00020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1118" w:rsidRPr="00020725" w:rsidRDefault="00501118" w:rsidP="003C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Çocuk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ergenlerin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sık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olarak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yaşadıkları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psikopatolojileri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tanıyabilmek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1118" w:rsidRPr="00020725" w:rsidRDefault="00501118" w:rsidP="003C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Psikopatolojileri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açıklamak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farklı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bakış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açılarını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biyolojik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bireysel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karşılaştırabilmek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1118" w:rsidRPr="00020725" w:rsidRDefault="00501118" w:rsidP="003C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kültürel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perspektiflerin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önleme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stratejilerinin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önemini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açıklayabilmek</w:t>
            </w:r>
            <w:proofErr w:type="spellEnd"/>
            <w:r w:rsidRPr="00020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</w:tbl>
    <w:p w:rsidR="00501118" w:rsidRPr="00020725" w:rsidRDefault="00501118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501118" w:rsidRPr="00020725" w:rsidTr="003C0D1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1: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2: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Soru-Cevap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3: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Tartışma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4: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Örnek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5: Problem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çözme</w:t>
            </w:r>
            <w:proofErr w:type="spellEnd"/>
          </w:p>
        </w:tc>
      </w:tr>
      <w:tr w:rsidR="00501118" w:rsidRPr="00020725" w:rsidTr="003C0D1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Ölçme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1: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2: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Deney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3: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Ödev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501118" w:rsidRPr="00020725" w:rsidRDefault="00501118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829"/>
        <w:gridCol w:w="3142"/>
      </w:tblGrid>
      <w:tr w:rsidR="00501118" w:rsidRPr="00020725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AKIŞI</w:t>
            </w:r>
          </w:p>
        </w:tc>
      </w:tr>
      <w:tr w:rsidR="00501118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  <w:proofErr w:type="spellEnd"/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  <w:proofErr w:type="spellEnd"/>
          </w:p>
        </w:tc>
        <w:tc>
          <w:tcPr>
            <w:tcW w:w="17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Hazırlık</w:t>
            </w:r>
            <w:proofErr w:type="spellEnd"/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Anormal Çocuk ve Ergen Psikolojisine Giriş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Chapter 1. Introduction to Abnormal Child and Adolescent Psychology</w:t>
            </w: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Gelişimsel Psikopatoloji Perspektifi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Chapter 2. The Developmental Psychopathology Perspective</w:t>
            </w: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Psikopatolojinin Biyolojik ve Çevresel Bağlamı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Chapter 3.Biological and Environmental Contexts of Psychopathology</w:t>
            </w: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Kaygı Bozuklukları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Chapter 6. Anxiety Disorders</w:t>
            </w: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Duygu Durum Bozuklukları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Chapter 7. Mood Disorders</w:t>
            </w: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Davranım Bozuklukları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Chapter 8. Conduct Disorders</w:t>
            </w: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Sınav I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Dikkat eksikliği Ve Hiperaktivite Bozukluğu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Chapter 9. ADHD</w:t>
            </w: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Özel Öğrenme Güçlüğü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Chapter 10. Language and Learning Disorders</w:t>
            </w: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Zeka Geriliği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Chapter 11. Mental Retardation</w:t>
            </w: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Yaygın Gelişimsel Bozukluklar ve Şizofreni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Chapter 12. Pervasive Developmental Disorders and Schizophrenia</w:t>
            </w: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Temel Fiziksel Fonksiyonların Bozuklukları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Chapter 13. Disorders of Basic Physical Functions</w:t>
            </w: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Vaka Sunumları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Vaka Sunumları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Vaka Sunumları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84606" w:rsidRPr="00020725" w:rsidTr="00484606">
        <w:trPr>
          <w:trHeight w:val="450"/>
          <w:tblCellSpacing w:w="15" w:type="dxa"/>
          <w:jc w:val="center"/>
        </w:trPr>
        <w:tc>
          <w:tcPr>
            <w:tcW w:w="395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8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Dönemin gözden geçirilmesi</w:t>
            </w:r>
          </w:p>
        </w:tc>
        <w:tc>
          <w:tcPr>
            <w:tcW w:w="1779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84606" w:rsidRPr="00484606" w:rsidRDefault="00484606" w:rsidP="0048460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501118" w:rsidRPr="00020725" w:rsidRDefault="00501118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4606" w:rsidRPr="00020725" w:rsidRDefault="00484606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7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84606" w:rsidRPr="00020725" w:rsidRDefault="00484606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4606" w:rsidRPr="00020725" w:rsidRDefault="00484606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4606" w:rsidRPr="00020725" w:rsidRDefault="00484606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4606" w:rsidRPr="00020725" w:rsidRDefault="00484606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4606" w:rsidRPr="00020725" w:rsidRDefault="00484606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4606" w:rsidRPr="00020725" w:rsidRDefault="00484606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1118" w:rsidRPr="00020725" w:rsidRDefault="00501118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1118" w:rsidRPr="00020725" w:rsidRDefault="00501118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6818"/>
      </w:tblGrid>
      <w:tr w:rsidR="00501118" w:rsidRPr="00020725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Notu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3840C0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Rita Wicks-Nelson &amp; Allen C. Israel (2008). Abnormal Child and Adolescent Psychology, 7/E, Pearson Publication</w:t>
            </w:r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3840C0" w:rsidP="003C0D1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Wilmhurst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L. (2004). Child and Adolescent Psychopathology. Sage Publications, Power point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sunumları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İnternet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veritabanları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EbscoHOST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ScienceDirect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Psikiyatri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Dizini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vb.)</w:t>
            </w:r>
          </w:p>
        </w:tc>
      </w:tr>
    </w:tbl>
    <w:p w:rsidR="00501118" w:rsidRPr="00020725" w:rsidRDefault="00501118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1118" w:rsidRPr="00020725" w:rsidRDefault="00501118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501118" w:rsidRPr="00020725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MATERYAL PAYLAŞIMI </w:t>
            </w:r>
          </w:p>
        </w:tc>
      </w:tr>
      <w:tr w:rsidR="00501118" w:rsidRPr="00020725" w:rsidTr="003C0D1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1118" w:rsidRPr="00020725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1118" w:rsidRPr="00020725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01118" w:rsidRPr="00020725" w:rsidRDefault="00501118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699"/>
        <w:gridCol w:w="1959"/>
      </w:tblGrid>
      <w:tr w:rsidR="00501118" w:rsidRPr="00020725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DEĞERLENDİRME SİSTEMİ</w:t>
            </w:r>
          </w:p>
        </w:tc>
      </w:tr>
      <w:tr w:rsidR="00501118" w:rsidRPr="0002072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KATKI YÜZDESİ</w:t>
            </w:r>
          </w:p>
        </w:tc>
      </w:tr>
      <w:tr w:rsidR="00501118" w:rsidRPr="0002072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1118" w:rsidRPr="0002072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Kısa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118" w:rsidRPr="0002072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1118" w:rsidRPr="0002072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Derse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01118" w:rsidRPr="0002072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501118" w:rsidRPr="0002072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Final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Ödevinin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Başarıya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01118" w:rsidRPr="0002072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içinin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Başarıya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01118" w:rsidRPr="0002072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501118" w:rsidRPr="00020725" w:rsidRDefault="00501118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658"/>
      </w:tblGrid>
      <w:tr w:rsidR="00501118" w:rsidRPr="0002072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</w:t>
            </w:r>
            <w:proofErr w:type="spellEnd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Alan </w:t>
            </w:r>
            <w:proofErr w:type="spellStart"/>
            <w:r w:rsidRPr="00020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Dersleri</w:t>
            </w:r>
            <w:proofErr w:type="spellEnd"/>
          </w:p>
        </w:tc>
      </w:tr>
    </w:tbl>
    <w:p w:rsidR="00501118" w:rsidRPr="00020725" w:rsidRDefault="00501118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0725" w:rsidRPr="00020725" w:rsidRDefault="00020725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0725" w:rsidRPr="00020725" w:rsidRDefault="00020725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0725" w:rsidRPr="00020725" w:rsidRDefault="00020725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0725" w:rsidRPr="00020725" w:rsidRDefault="00020725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8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1"/>
      </w:tblGrid>
      <w:tr w:rsidR="00501118" w:rsidRPr="00020725" w:rsidTr="00020725">
        <w:trPr>
          <w:trHeight w:val="599"/>
          <w:tblCellSpacing w:w="15" w:type="dxa"/>
          <w:jc w:val="center"/>
        </w:trPr>
        <w:tc>
          <w:tcPr>
            <w:tcW w:w="49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02072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DERSİN PROGRAM ÇIKTILARINA KATKISI</w:t>
            </w:r>
          </w:p>
        </w:tc>
      </w:tr>
    </w:tbl>
    <w:p w:rsidR="003840C0" w:rsidRDefault="003840C0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567B" w:rsidRPr="005E567B" w:rsidRDefault="005E567B" w:rsidP="005E567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</w:p>
    <w:tbl>
      <w:tblPr>
        <w:tblW w:w="9206" w:type="dxa"/>
        <w:tblCellSpacing w:w="15" w:type="dxa"/>
        <w:tblBorders>
          <w:top w:val="single" w:sz="6" w:space="0" w:color="B4CBDD"/>
          <w:left w:val="single" w:sz="6" w:space="0" w:color="B4CBDD"/>
          <w:bottom w:val="single" w:sz="6" w:space="0" w:color="B4CBDD"/>
          <w:right w:val="single" w:sz="6" w:space="0" w:color="B4CBDD"/>
        </w:tblBorders>
        <w:shd w:val="clear" w:color="auto" w:fill="F8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214"/>
        <w:gridCol w:w="240"/>
        <w:gridCol w:w="30"/>
        <w:gridCol w:w="5926"/>
        <w:gridCol w:w="567"/>
        <w:gridCol w:w="567"/>
        <w:gridCol w:w="425"/>
        <w:gridCol w:w="425"/>
        <w:gridCol w:w="425"/>
        <w:gridCol w:w="142"/>
      </w:tblGrid>
      <w:tr w:rsidR="005E567B" w:rsidRPr="005E567B" w:rsidTr="005E567B">
        <w:trPr>
          <w:gridAfter w:val="10"/>
          <w:wAfter w:w="8916" w:type="dxa"/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vAlign w:val="center"/>
          </w:tcPr>
          <w:p w:rsidR="005E567B" w:rsidRPr="005E567B" w:rsidRDefault="005E567B" w:rsidP="005E567B"/>
        </w:tc>
        <w:tc>
          <w:tcPr>
            <w:tcW w:w="5926" w:type="dxa"/>
            <w:gridSpan w:val="2"/>
            <w:vAlign w:val="center"/>
          </w:tcPr>
          <w:p w:rsidR="005E567B" w:rsidRPr="005E567B" w:rsidRDefault="005E567B" w:rsidP="005E567B">
            <w:r w:rsidRPr="005E567B">
              <w:t xml:space="preserve">DERSİN PROGRAM ÇIKTILARINA  KATKISI      </w:t>
            </w:r>
          </w:p>
        </w:tc>
        <w:tc>
          <w:tcPr>
            <w:tcW w:w="2506" w:type="dxa"/>
            <w:gridSpan w:val="6"/>
            <w:vAlign w:val="center"/>
          </w:tcPr>
          <w:p w:rsidR="005E567B" w:rsidRPr="005E567B" w:rsidRDefault="005E567B" w:rsidP="005E567B">
            <w:proofErr w:type="spellStart"/>
            <w:r w:rsidRPr="005E567B">
              <w:t>Katkı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Düzeyi</w:t>
            </w:r>
            <w:proofErr w:type="spellEnd"/>
          </w:p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/>
        </w:tc>
        <w:tc>
          <w:tcPr>
            <w:tcW w:w="5896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>
            <w:r w:rsidRPr="005E567B">
              <w:t>1</w:t>
            </w:r>
          </w:p>
        </w:tc>
        <w:tc>
          <w:tcPr>
            <w:tcW w:w="537" w:type="dxa"/>
            <w:vAlign w:val="center"/>
          </w:tcPr>
          <w:p w:rsidR="005E567B" w:rsidRPr="005E567B" w:rsidRDefault="005E567B" w:rsidP="005E567B">
            <w:r w:rsidRPr="005E567B">
              <w:t>2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>
            <w:r w:rsidRPr="005E567B">
              <w:t>3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>
            <w:r w:rsidRPr="005E567B">
              <w:t>4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>
            <w:r w:rsidRPr="005E567B">
              <w:t>5</w:t>
            </w:r>
          </w:p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1</w:t>
            </w:r>
          </w:p>
        </w:tc>
        <w:tc>
          <w:tcPr>
            <w:tcW w:w="5896" w:type="dxa"/>
          </w:tcPr>
          <w:p w:rsidR="005E567B" w:rsidRPr="005E567B" w:rsidRDefault="005E567B" w:rsidP="005E567B">
            <w:proofErr w:type="spellStart"/>
            <w:r w:rsidRPr="005E567B">
              <w:t>PDR’nin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geçmişini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temel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felsefesini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ilkelerini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bilmek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uygulamak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2</w:t>
            </w:r>
          </w:p>
        </w:tc>
        <w:tc>
          <w:tcPr>
            <w:tcW w:w="5896" w:type="dxa"/>
          </w:tcPr>
          <w:p w:rsidR="005E567B" w:rsidRPr="005E567B" w:rsidRDefault="005E567B" w:rsidP="005E567B">
            <w:r w:rsidRPr="005E567B">
              <w:t xml:space="preserve">PDR </w:t>
            </w:r>
            <w:proofErr w:type="spellStart"/>
            <w:r w:rsidRPr="005E567B">
              <w:t>alanında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koordinasyon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konsültasyon</w:t>
            </w:r>
            <w:proofErr w:type="spellEnd"/>
            <w:r w:rsidRPr="005E567B">
              <w:t>/</w:t>
            </w:r>
            <w:proofErr w:type="spellStart"/>
            <w:r w:rsidRPr="005E567B">
              <w:t>müşavirlik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süpervizyonun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anlam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önemini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kavramak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uygulayabilmek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3</w:t>
            </w:r>
          </w:p>
        </w:tc>
        <w:tc>
          <w:tcPr>
            <w:tcW w:w="5896" w:type="dxa"/>
          </w:tcPr>
          <w:p w:rsidR="005E567B" w:rsidRPr="005E567B" w:rsidRDefault="005E567B" w:rsidP="005E567B">
            <w:proofErr w:type="spellStart"/>
            <w:r w:rsidRPr="005E567B">
              <w:t>Ulusal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uluslararası</w:t>
            </w:r>
            <w:proofErr w:type="spellEnd"/>
            <w:r w:rsidRPr="005E567B">
              <w:t xml:space="preserve"> PDR </w:t>
            </w:r>
            <w:proofErr w:type="spellStart"/>
            <w:r w:rsidRPr="005E567B">
              <w:t>dernekleri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tarafından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kabul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edilmiş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etik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kuralları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bilmek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uygulamak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4</w:t>
            </w:r>
          </w:p>
        </w:tc>
        <w:tc>
          <w:tcPr>
            <w:tcW w:w="5896" w:type="dxa"/>
          </w:tcPr>
          <w:p w:rsidR="005E567B" w:rsidRPr="005E567B" w:rsidRDefault="005E567B" w:rsidP="005E567B">
            <w:proofErr w:type="spellStart"/>
            <w:r w:rsidRPr="005E567B">
              <w:t>Çok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kültürlü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bir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yaklaşımla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herkesi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olduğu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gibi</w:t>
            </w:r>
            <w:proofErr w:type="spellEnd"/>
            <w:r w:rsidRPr="005E567B">
              <w:t xml:space="preserve">/her </w:t>
            </w:r>
            <w:proofErr w:type="spellStart"/>
            <w:r w:rsidRPr="005E567B">
              <w:t>türlü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özellikleriyle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kabul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etmeyi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öğrenmek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5</w:t>
            </w:r>
          </w:p>
        </w:tc>
        <w:tc>
          <w:tcPr>
            <w:tcW w:w="5896" w:type="dxa"/>
          </w:tcPr>
          <w:p w:rsidR="005E567B" w:rsidRPr="005E567B" w:rsidRDefault="005E567B" w:rsidP="005E567B">
            <w:proofErr w:type="spellStart"/>
            <w:r w:rsidRPr="005E567B">
              <w:t>Kültürel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farkındalık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kültürel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sosyal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adalet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çatışma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çözme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diğer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kültürel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davranışlarıyla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ilgili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teorileri</w:t>
            </w:r>
            <w:proofErr w:type="spellEnd"/>
            <w:r w:rsidRPr="005E567B">
              <w:t>/</w:t>
            </w:r>
            <w:proofErr w:type="spellStart"/>
            <w:r w:rsidRPr="005E567B">
              <w:t>bilgileri</w:t>
            </w:r>
            <w:proofErr w:type="spellEnd"/>
            <w:r w:rsidRPr="005E567B">
              <w:t xml:space="preserve">; </w:t>
            </w:r>
            <w:proofErr w:type="spellStart"/>
            <w:r w:rsidRPr="005E567B">
              <w:t>insan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ruhunun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aklının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bedeninin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gelişimi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sağlığı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için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öğrenmek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uygulamak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6</w:t>
            </w:r>
          </w:p>
        </w:tc>
        <w:tc>
          <w:tcPr>
            <w:tcW w:w="5896" w:type="dxa"/>
          </w:tcPr>
          <w:p w:rsidR="005E567B" w:rsidRPr="005E567B" w:rsidRDefault="005E567B" w:rsidP="005E567B">
            <w:proofErr w:type="spellStart"/>
            <w:r w:rsidRPr="005E567B">
              <w:t>Gelişim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öğrenme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kişilik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gelişimiyle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ilgili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teorileri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bireyin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yaşam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boyu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olumlu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yönde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gelişimi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iyilik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halini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kolaylaştıracak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şekilde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öğrenmek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uygulamak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7</w:t>
            </w:r>
          </w:p>
        </w:tc>
        <w:tc>
          <w:tcPr>
            <w:tcW w:w="5896" w:type="dxa"/>
          </w:tcPr>
          <w:p w:rsidR="005E567B" w:rsidRPr="005E567B" w:rsidRDefault="005E567B" w:rsidP="005E567B">
            <w:r w:rsidRPr="005E567B">
              <w:t xml:space="preserve">Normal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anormal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davranışları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etkileyen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çevresel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faktörleri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psikopatolojiyi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özürlülük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durumlarını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gelişim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sürecindeki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krizleri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anlamak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8</w:t>
            </w:r>
          </w:p>
        </w:tc>
        <w:tc>
          <w:tcPr>
            <w:tcW w:w="5896" w:type="dxa"/>
          </w:tcPr>
          <w:p w:rsidR="005E567B" w:rsidRPr="005E567B" w:rsidRDefault="005E567B" w:rsidP="005E567B">
            <w:r w:rsidRPr="005E567B">
              <w:t xml:space="preserve">Global </w:t>
            </w:r>
            <w:proofErr w:type="spellStart"/>
            <w:r w:rsidRPr="005E567B">
              <w:t>ekonomide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belirli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gruplara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uygulananları</w:t>
            </w:r>
            <w:proofErr w:type="spellEnd"/>
            <w:r w:rsidRPr="005E567B">
              <w:t xml:space="preserve"> da </w:t>
            </w:r>
            <w:proofErr w:type="spellStart"/>
            <w:r w:rsidRPr="005E567B">
              <w:t>içerecek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şekilde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kariyer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danışmanlığı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süreçleri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teknikleri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kaynakları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kariyer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gelişimi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ile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karar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verme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modellerini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öğrenmek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uygulamak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9</w:t>
            </w:r>
          </w:p>
        </w:tc>
        <w:tc>
          <w:tcPr>
            <w:tcW w:w="5896" w:type="dxa"/>
          </w:tcPr>
          <w:p w:rsidR="005E567B" w:rsidRPr="005E567B" w:rsidRDefault="005E567B" w:rsidP="005E567B">
            <w:proofErr w:type="spellStart"/>
            <w:r w:rsidRPr="005E567B">
              <w:t>Psikolojik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danışmanlık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teorilerini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öğrenerek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uygulamada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danışanlara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uygun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müdahale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tekniklerini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fark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etmek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kullanmak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E567B" w:rsidRPr="005E567B" w:rsidRDefault="005E567B" w:rsidP="005E567B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10</w:t>
            </w:r>
          </w:p>
        </w:tc>
        <w:tc>
          <w:tcPr>
            <w:tcW w:w="5896" w:type="dxa"/>
          </w:tcPr>
          <w:p w:rsidR="005E567B" w:rsidRPr="005E567B" w:rsidRDefault="005E567B" w:rsidP="005E567B">
            <w:proofErr w:type="spellStart"/>
            <w:r w:rsidRPr="005E567B">
              <w:t>Grup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sürecini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grup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üyelerinin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rol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davranışlarını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grup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çalışmasının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terapötik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faktörlerini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gelişimsel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aşama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içeren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grup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dinamiklerinin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ilke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tekniklerini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öğrenmek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  <w:hideMark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  <w:hideMark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11</w:t>
            </w:r>
          </w:p>
        </w:tc>
        <w:tc>
          <w:tcPr>
            <w:tcW w:w="5896" w:type="dxa"/>
          </w:tcPr>
          <w:p w:rsidR="005E567B" w:rsidRPr="005E567B" w:rsidRDefault="005E567B" w:rsidP="005E567B">
            <w:proofErr w:type="spellStart"/>
            <w:r w:rsidRPr="005E567B">
              <w:t>Grup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lideri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olma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çeşitleri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becerilerini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öğrenmek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uygulamak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12</w:t>
            </w:r>
          </w:p>
        </w:tc>
        <w:tc>
          <w:tcPr>
            <w:tcW w:w="5896" w:type="dxa"/>
          </w:tcPr>
          <w:p w:rsidR="005E567B" w:rsidRPr="005E567B" w:rsidRDefault="005E567B" w:rsidP="005E567B">
            <w:proofErr w:type="spellStart"/>
            <w:r w:rsidRPr="005E567B">
              <w:t>Bireysel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grup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yaklaşımlarını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çok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kültürlü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bir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toplum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çerçevesinde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değerlendirme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anlayışını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kazanmak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13</w:t>
            </w:r>
          </w:p>
        </w:tc>
        <w:tc>
          <w:tcPr>
            <w:tcW w:w="5896" w:type="dxa"/>
          </w:tcPr>
          <w:p w:rsidR="005E567B" w:rsidRPr="005E567B" w:rsidRDefault="005E567B" w:rsidP="005E567B">
            <w:proofErr w:type="spellStart"/>
            <w:r w:rsidRPr="005E567B">
              <w:t>Çevresel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değerlendirme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performans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değerlendirme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bireysel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grup</w:t>
            </w:r>
            <w:proofErr w:type="spellEnd"/>
            <w:r w:rsidRPr="005E567B">
              <w:t xml:space="preserve"> test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envanter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yöntemleri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psikolojik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testler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davranış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gözlemlerini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içeren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standartlaştırılmış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standartlaştırılmamış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testleri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diğer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değerlendirme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tekniklerini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temel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kavramlarını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kavrayabilmek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uygulayabilmek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14</w:t>
            </w:r>
          </w:p>
        </w:tc>
        <w:tc>
          <w:tcPr>
            <w:tcW w:w="5896" w:type="dxa"/>
          </w:tcPr>
          <w:p w:rsidR="005E567B" w:rsidRPr="005E567B" w:rsidRDefault="005E567B" w:rsidP="005E567B">
            <w:proofErr w:type="spellStart"/>
            <w:r w:rsidRPr="005E567B">
              <w:t>Niteliksel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niceliksel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bilimsel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araştırma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yöntemlerini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öğrenerek</w:t>
            </w:r>
            <w:proofErr w:type="spellEnd"/>
            <w:r w:rsidRPr="005E567B">
              <w:t xml:space="preserve">,  PDR </w:t>
            </w:r>
            <w:proofErr w:type="spellStart"/>
            <w:r w:rsidRPr="005E567B">
              <w:t>alanında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araştırma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yapmanın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sonuçları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yazılı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olarak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sunmanın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önemini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kavramak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uygulamak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15</w:t>
            </w:r>
          </w:p>
        </w:tc>
        <w:tc>
          <w:tcPr>
            <w:tcW w:w="5896" w:type="dxa"/>
          </w:tcPr>
          <w:p w:rsidR="005E567B" w:rsidRPr="005E567B" w:rsidRDefault="005E567B" w:rsidP="005E567B">
            <w:proofErr w:type="spellStart"/>
            <w:r w:rsidRPr="005E567B">
              <w:t>Bilgiye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ulaşma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bilgiyi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paylaşma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profesyonel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gelişim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veri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analizi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için</w:t>
            </w:r>
            <w:proofErr w:type="spellEnd"/>
            <w:r w:rsidRPr="005E567B">
              <w:t xml:space="preserve"> internet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teknolojiyi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nasıl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kullanacağını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bilmek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16</w:t>
            </w:r>
          </w:p>
        </w:tc>
        <w:tc>
          <w:tcPr>
            <w:tcW w:w="5896" w:type="dxa"/>
          </w:tcPr>
          <w:p w:rsidR="005E567B" w:rsidRPr="005E567B" w:rsidRDefault="005E567B" w:rsidP="005E567B">
            <w:r w:rsidRPr="005E567B">
              <w:t xml:space="preserve">PDR </w:t>
            </w:r>
            <w:proofErr w:type="spellStart"/>
            <w:r w:rsidRPr="005E567B">
              <w:t>hizmetlerinde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gizlilik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ilkesine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bağlı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olarak</w:t>
            </w:r>
            <w:proofErr w:type="spellEnd"/>
            <w:r w:rsidRPr="005E567B">
              <w:t xml:space="preserve"> PDR </w:t>
            </w:r>
            <w:proofErr w:type="spellStart"/>
            <w:r w:rsidRPr="005E567B">
              <w:t>hizmetlerinden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yararlanmanın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gönüllülük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esasına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dayalı</w:t>
            </w:r>
            <w:proofErr w:type="spellEnd"/>
            <w:r w:rsidRPr="005E567B">
              <w:t xml:space="preserve">, </w:t>
            </w:r>
            <w:proofErr w:type="spellStart"/>
            <w:r w:rsidRPr="005E567B">
              <w:t>isteyen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herkese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hayat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boyu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açık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olduğuna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inanmak</w:t>
            </w:r>
            <w:proofErr w:type="spellEnd"/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  <w:tr w:rsidR="005E567B" w:rsidRPr="005E567B" w:rsidTr="005E567B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5E567B" w:rsidRPr="005E567B" w:rsidRDefault="005E567B" w:rsidP="005E567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E567B" w:rsidRPr="005E567B" w:rsidRDefault="005E567B" w:rsidP="005E567B">
            <w:r w:rsidRPr="005E567B">
              <w:t>17</w:t>
            </w:r>
          </w:p>
        </w:tc>
        <w:tc>
          <w:tcPr>
            <w:tcW w:w="5896" w:type="dxa"/>
          </w:tcPr>
          <w:p w:rsidR="005E567B" w:rsidRPr="005E567B" w:rsidRDefault="005E567B" w:rsidP="005E567B">
            <w:proofErr w:type="spellStart"/>
            <w:r w:rsidRPr="005E567B">
              <w:t>Özel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eğitim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ihtiyacı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olan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öğrencilerinin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eğitimlerinin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önündeki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engelleri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anlamak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ve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bu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alanlarda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öğrencileri</w:t>
            </w:r>
            <w:proofErr w:type="spellEnd"/>
            <w:r w:rsidRPr="005E567B">
              <w:t xml:space="preserve"> </w:t>
            </w:r>
            <w:proofErr w:type="spellStart"/>
            <w:r w:rsidRPr="005E567B">
              <w:t>desteklemek</w:t>
            </w:r>
            <w:proofErr w:type="spellEnd"/>
          </w:p>
          <w:p w:rsidR="005E567B" w:rsidRPr="005E567B" w:rsidRDefault="005E567B" w:rsidP="005E567B">
            <w:r w:rsidRPr="005E567B">
              <w:t> </w:t>
            </w:r>
          </w:p>
        </w:tc>
        <w:tc>
          <w:tcPr>
            <w:tcW w:w="537" w:type="dxa"/>
            <w:vAlign w:val="center"/>
          </w:tcPr>
          <w:p w:rsidR="005E567B" w:rsidRPr="005E567B" w:rsidRDefault="005E567B" w:rsidP="005E567B"/>
        </w:tc>
        <w:tc>
          <w:tcPr>
            <w:tcW w:w="537" w:type="dxa"/>
            <w:vAlign w:val="center"/>
          </w:tcPr>
          <w:p w:rsidR="005E567B" w:rsidRPr="005E567B" w:rsidRDefault="005E567B" w:rsidP="005E567B">
            <w:r w:rsidRPr="005E567B">
              <w:t>X</w:t>
            </w:r>
          </w:p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395" w:type="dxa"/>
            <w:vAlign w:val="center"/>
          </w:tcPr>
          <w:p w:rsidR="005E567B" w:rsidRPr="005E567B" w:rsidRDefault="005E567B" w:rsidP="005E567B"/>
        </w:tc>
        <w:tc>
          <w:tcPr>
            <w:tcW w:w="97" w:type="dxa"/>
            <w:vAlign w:val="center"/>
          </w:tcPr>
          <w:p w:rsidR="005E567B" w:rsidRPr="005E567B" w:rsidRDefault="005E567B" w:rsidP="005E567B"/>
        </w:tc>
      </w:tr>
    </w:tbl>
    <w:p w:rsidR="005E567B" w:rsidRDefault="005E567B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567B" w:rsidRDefault="005E567B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567B" w:rsidRDefault="005E567B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567B" w:rsidRDefault="005E567B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567B" w:rsidRDefault="005E567B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567B" w:rsidRDefault="005E567B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567B" w:rsidRDefault="005E567B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567B" w:rsidRDefault="005E567B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567B" w:rsidRPr="00B61D05" w:rsidRDefault="005E567B" w:rsidP="0050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  <w:gridCol w:w="943"/>
        <w:gridCol w:w="760"/>
        <w:gridCol w:w="956"/>
      </w:tblGrid>
      <w:tr w:rsidR="00501118" w:rsidRPr="00B61D05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AKTS / İŞ YÜKÜ TABLOSU</w:t>
            </w:r>
          </w:p>
        </w:tc>
      </w:tr>
      <w:tr w:rsidR="00501118" w:rsidRPr="00B61D0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Etkinlik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Yükü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1118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haftası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dahildir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14x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saati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01118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Sınıf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Dışı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pekiştirme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01118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118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Derse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118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1118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1118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Yükü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1118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Yükü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118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AKTS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1118" w:rsidRPr="00B61D05" w:rsidRDefault="00501118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F0B4F" w:rsidRDefault="004F0B4F"/>
    <w:sectPr w:rsidR="004F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18"/>
    <w:rsid w:val="00020725"/>
    <w:rsid w:val="003840C0"/>
    <w:rsid w:val="00484606"/>
    <w:rsid w:val="004F0B4F"/>
    <w:rsid w:val="00501118"/>
    <w:rsid w:val="00512CE4"/>
    <w:rsid w:val="005E567B"/>
    <w:rsid w:val="00784DFB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E53D-8E16-4FE6-901B-AEFB7FF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18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5011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50111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FB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Eren Ozyigit</dc:creator>
  <cp:keywords/>
  <dc:description/>
  <cp:lastModifiedBy>Burcu Dok</cp:lastModifiedBy>
  <cp:revision>5</cp:revision>
  <cp:lastPrinted>2017-04-27T09:30:00Z</cp:lastPrinted>
  <dcterms:created xsi:type="dcterms:W3CDTF">2017-04-05T11:54:00Z</dcterms:created>
  <dcterms:modified xsi:type="dcterms:W3CDTF">2017-04-27T11:20:00Z</dcterms:modified>
</cp:coreProperties>
</file>